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39" w:rsidRDefault="00861B39" w:rsidP="00861B39">
      <w:pPr>
        <w:jc w:val="center"/>
        <w:rPr>
          <w:rFonts w:ascii="Arial Narrow" w:hAnsi="Arial Narrow"/>
          <w:b/>
          <w:sz w:val="28"/>
          <w:szCs w:val="28"/>
        </w:rPr>
      </w:pPr>
    </w:p>
    <w:p w:rsidR="003B6B06" w:rsidRPr="00861B39" w:rsidRDefault="009113D0" w:rsidP="00861B39">
      <w:pPr>
        <w:jc w:val="center"/>
        <w:rPr>
          <w:rFonts w:ascii="Arial Narrow" w:hAnsi="Arial Narrow"/>
          <w:b/>
          <w:sz w:val="28"/>
          <w:szCs w:val="28"/>
        </w:rPr>
      </w:pPr>
      <w:r w:rsidRPr="00861B39">
        <w:rPr>
          <w:rFonts w:ascii="Arial Narrow" w:hAnsi="Arial Narrow"/>
          <w:b/>
          <w:sz w:val="28"/>
          <w:szCs w:val="28"/>
        </w:rPr>
        <w:t xml:space="preserve">Štatút Rady projektu </w:t>
      </w:r>
      <w:r w:rsidR="00DA13EE" w:rsidRPr="00861B39">
        <w:rPr>
          <w:rFonts w:ascii="Arial Narrow" w:hAnsi="Arial Narrow"/>
          <w:b/>
          <w:sz w:val="28"/>
          <w:szCs w:val="28"/>
        </w:rPr>
        <w:t xml:space="preserve">„Aplikovaný výskum pokročilých </w:t>
      </w:r>
      <w:proofErr w:type="spellStart"/>
      <w:r w:rsidR="00DA13EE" w:rsidRPr="00861B39">
        <w:rPr>
          <w:rFonts w:ascii="Arial Narrow" w:hAnsi="Arial Narrow"/>
          <w:b/>
          <w:sz w:val="28"/>
          <w:szCs w:val="28"/>
        </w:rPr>
        <w:t>fotovoltických</w:t>
      </w:r>
      <w:proofErr w:type="spellEnd"/>
      <w:r w:rsidR="00DA13EE" w:rsidRPr="00861B39">
        <w:rPr>
          <w:rFonts w:ascii="Arial Narrow" w:hAnsi="Arial Narrow"/>
          <w:b/>
          <w:sz w:val="28"/>
          <w:szCs w:val="28"/>
        </w:rPr>
        <w:t xml:space="preserve"> článkov“</w:t>
      </w:r>
    </w:p>
    <w:tbl>
      <w:tblPr>
        <w:tblW w:w="11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8"/>
        <w:gridCol w:w="71"/>
        <w:gridCol w:w="86"/>
      </w:tblGrid>
      <w:tr w:rsidR="009113D0" w:rsidRPr="00915025" w:rsidTr="00E52999">
        <w:trPr>
          <w:tblCellSpacing w:w="15" w:type="dxa"/>
        </w:trPr>
        <w:tc>
          <w:tcPr>
            <w:tcW w:w="10803" w:type="dxa"/>
            <w:vAlign w:val="center"/>
            <w:hideMark/>
          </w:tcPr>
          <w:tbl>
            <w:tblPr>
              <w:tblW w:w="9357" w:type="dxa"/>
              <w:tblCellSpacing w:w="15" w:type="dxa"/>
              <w:tblInd w:w="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88"/>
              <w:gridCol w:w="69"/>
            </w:tblGrid>
            <w:tr w:rsidR="009113D0" w:rsidRPr="00915025" w:rsidTr="00DA13EE">
              <w:trPr>
                <w:tblCellSpacing w:w="15" w:type="dxa"/>
              </w:trPr>
              <w:tc>
                <w:tcPr>
                  <w:tcW w:w="9243" w:type="dxa"/>
                  <w:vAlign w:val="center"/>
                  <w:hideMark/>
                </w:tcPr>
                <w:p w:rsidR="009113D0" w:rsidRPr="003B6B06" w:rsidRDefault="00FC69E4" w:rsidP="00DA13E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Štatút Rady projektu </w:t>
                  </w:r>
                  <w:r w:rsid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„Aplikovaný výskum pokročilých </w:t>
                  </w:r>
                  <w:proofErr w:type="spellStart"/>
                  <w:r w:rsid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fotovoltických</w:t>
                  </w:r>
                  <w:proofErr w:type="spellEnd"/>
                  <w:r w:rsid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článkov“ 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(ďalej len ”Rada”) zriadenej na základe 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rozhodnutia </w:t>
                  </w:r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vedúceho projektu Dr. </w:t>
                  </w:r>
                  <w:proofErr w:type="spellStart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rar</w:t>
                  </w:r>
                  <w:proofErr w:type="spellEnd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proofErr w:type="spellStart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nat</w:t>
                  </w:r>
                  <w:proofErr w:type="spellEnd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. Petra </w:t>
                  </w:r>
                  <w:proofErr w:type="spellStart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Šiffaloviča</w:t>
                  </w:r>
                  <w:proofErr w:type="spellEnd"/>
                  <w:r w:rsidR="00DA13EE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, PhD. 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z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o dňa 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1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0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. 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02.2011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vymedzuje </w:t>
                  </w:r>
                  <w:r w:rsidR="009113D0" w:rsidRP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hlavné úlohy, zloženie a </w:t>
                  </w:r>
                  <w:r w:rsid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organizáciu</w:t>
                  </w:r>
                  <w:r w:rsidR="009113D0" w:rsidRPr="003B6B06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činnosti Rady.</w:t>
                  </w:r>
                </w:p>
                <w:p w:rsidR="009113D0" w:rsidRPr="00915025" w:rsidRDefault="009113D0" w:rsidP="00DA13EE">
                  <w:pPr>
                    <w:spacing w:after="0" w:line="240" w:lineRule="auto"/>
                    <w:jc w:val="both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4511A" w:rsidRPr="00915025" w:rsidRDefault="00C4511A" w:rsidP="009113D0">
                  <w:pPr>
                    <w:spacing w:after="0" w:line="240" w:lineRule="auto"/>
                    <w:jc w:val="center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</w:pPr>
                </w:p>
                <w:p w:rsidR="009113D0" w:rsidRPr="00D600DB" w:rsidRDefault="009113D0" w:rsidP="009113D0">
                  <w:pPr>
                    <w:spacing w:after="0" w:line="240" w:lineRule="auto"/>
                    <w:jc w:val="center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  <w:t>Článok l</w:t>
                  </w:r>
                </w:p>
                <w:p w:rsidR="009113D0" w:rsidRPr="00D600DB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Základné ustanovenia</w:t>
                  </w:r>
                </w:p>
                <w:p w:rsidR="009113D0" w:rsidRPr="00D600DB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D600DB" w:rsidRDefault="00C4511A" w:rsidP="00C451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423" w:hanging="423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Projekt Aplikovaný výskum pokročilých </w:t>
                  </w:r>
                  <w:proofErr w:type="spellStart"/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fotovoltických</w:t>
                  </w:r>
                  <w:proofErr w:type="spellEnd"/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článkov</w:t>
                  </w:r>
                  <w:r w:rsidR="00156612"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(ďalej len „Projekt“)</w:t>
                  </w: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je projektom, ktorý realizuje Fyzikálny ústav SAV v súlade so Zmluvou o poskytnutí nenávratného finančného príspevku (ďalej len „Zmluva“</w:t>
                  </w:r>
                  <w:r w:rsidR="00F76618"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)</w:t>
                  </w: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, číslo Zmluvy 058/2010/4.2/OPVaV, ktorá bola uzatvorená dňa 22.09.2010 medzi poskytovateľom nenávratného finančného príspevku (ďalej len „NFP“) Ministerstvom školstva, vedy, výskumu a športu SR, zastúpeným Agentúrou ministerstva školstva, vedy, výskumu a športu SR pre štrukturálne fondy EÚ a prijímateľom NFP Fyzikálnym ústavom SAV, Dúbravská cesta 9, 845 11 Bratislava. </w:t>
                  </w:r>
                </w:p>
                <w:p w:rsidR="00C4511A" w:rsidRPr="00D600DB" w:rsidRDefault="00C4511A" w:rsidP="00C4511A">
                  <w:pPr>
                    <w:pStyle w:val="ListParagraph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C4511A" w:rsidRPr="00D600DB" w:rsidRDefault="00C4511A" w:rsidP="00C451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33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Projekt sa realizuje v období od 22.septembra 2010 do 31.augusta 2013</w:t>
                  </w:r>
                  <w:r w:rsidR="00E1565C"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, celkové výdavky projektu sú rozpočtované vo výške 939 740,40 €.</w:t>
                  </w:r>
                </w:p>
                <w:p w:rsidR="00156612" w:rsidRPr="00D600DB" w:rsidRDefault="00156612" w:rsidP="00156612">
                  <w:pPr>
                    <w:pStyle w:val="ListParagrap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156612" w:rsidRPr="00D600DB" w:rsidRDefault="00156612" w:rsidP="00C4511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33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Strategickým cieľom projektu je </w:t>
                  </w:r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podpora aplikovaného výskumu v oblasti pokročilých </w:t>
                  </w:r>
                  <w:proofErr w:type="spellStart"/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fotovoltických</w:t>
                  </w:r>
                  <w:proofErr w:type="spellEnd"/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článkov s reálnym výstupom do praxe a vzdelávacieho procesu. V rámci dosiahnutia tohto cieľa sú </w:t>
                  </w:r>
                  <w:proofErr w:type="spellStart"/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aktvity</w:t>
                  </w:r>
                  <w:proofErr w:type="spellEnd"/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projektu rozdelené do dvoch etáp:</w:t>
                  </w:r>
                </w:p>
                <w:p w:rsidR="000B1E81" w:rsidRPr="00D600DB" w:rsidRDefault="00156612" w:rsidP="001566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93" w:hanging="360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Etapa, ktorá bude prebiehať v čase 09/2010 – 08/2013 – aktivita 1.1. </w:t>
                  </w:r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>Vybudovanie infraštruktúry, strategický plán a manažment výskumu, ktorej cieľom je obstaranie, inštalácia a testovanie zariadení pre pokroči</w:t>
                  </w:r>
                  <w:r w:rsidR="007D62E1">
                    <w:rPr>
                      <w:rFonts w:ascii="Arial Narrow" w:hAnsi="Arial Narrow"/>
                      <w:sz w:val="24"/>
                      <w:szCs w:val="24"/>
                    </w:rPr>
                    <w:t xml:space="preserve">lý dizajn rozhraní </w:t>
                  </w:r>
                  <w:proofErr w:type="spellStart"/>
                  <w:r w:rsidR="007D62E1">
                    <w:rPr>
                      <w:rFonts w:ascii="Arial Narrow" w:hAnsi="Arial Narrow"/>
                      <w:sz w:val="24"/>
                      <w:szCs w:val="24"/>
                    </w:rPr>
                    <w:t>fot</w:t>
                  </w:r>
                  <w:r w:rsidR="00FE7551" w:rsidRPr="00D600DB">
                    <w:rPr>
                      <w:rFonts w:ascii="Arial Narrow" w:hAnsi="Arial Narrow"/>
                      <w:sz w:val="24"/>
                      <w:szCs w:val="24"/>
                    </w:rPr>
                    <w:t>ovoltickýc</w:t>
                  </w:r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>h</w:t>
                  </w:r>
                  <w:proofErr w:type="spellEnd"/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 článkov s vyššou účinnosťou, vytvorenie </w:t>
                  </w:r>
                  <w:proofErr w:type="spellStart"/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>precesnej</w:t>
                  </w:r>
                  <w:proofErr w:type="spellEnd"/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 mapy a stratégie p</w:t>
                  </w:r>
                  <w:r w:rsidR="00FE7551"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re pokročilý dizajn rozhraní </w:t>
                  </w:r>
                  <w:proofErr w:type="spellStart"/>
                  <w:r w:rsidR="00FE7551" w:rsidRPr="00D600DB">
                    <w:rPr>
                      <w:rFonts w:ascii="Arial Narrow" w:hAnsi="Arial Narrow"/>
                      <w:sz w:val="24"/>
                      <w:szCs w:val="24"/>
                    </w:rPr>
                    <w:t>fot</w:t>
                  </w:r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>ovoltických</w:t>
                  </w:r>
                  <w:proofErr w:type="spellEnd"/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 článkov s vyššou účinnosťou, definovanie pravidiel manažovania v rámci výskumu,</w:t>
                  </w:r>
                </w:p>
                <w:p w:rsidR="00156612" w:rsidRPr="00D600DB" w:rsidRDefault="000B1E81" w:rsidP="001566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693" w:hanging="360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Etapa, ktorá bude prebiehať v čase 09/2011 – 08/2013 – aktivita 2.1.Vývoj nových technologických postupov, diseminácia výsledkov a transfer poznatkov do praxe. </w:t>
                  </w:r>
                  <w:r w:rsidR="00156612" w:rsidRPr="00D600DB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156612" w:rsidRPr="00D600DB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4511A" w:rsidRPr="00915025" w:rsidRDefault="00C4511A" w:rsidP="00C4511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C4511A" w:rsidRPr="00915025" w:rsidRDefault="00C4511A" w:rsidP="009113D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9113D0" w:rsidRPr="00D600DB" w:rsidRDefault="009113D0" w:rsidP="00E934B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Článok </w:t>
                  </w:r>
                  <w:r w:rsidR="00156612" w:rsidRPr="00D600D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II</w:t>
                  </w:r>
                  <w:r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D600DB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Pôsobnosť Rady</w:t>
                  </w:r>
                </w:p>
                <w:p w:rsidR="00E934B4" w:rsidRPr="00D600DB" w:rsidRDefault="00E934B4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E934B4" w:rsidRPr="00D600DB" w:rsidRDefault="00E934B4" w:rsidP="00E934B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3" w:hanging="333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Činnosť Rady sa riadi Štatútom Rady.</w:t>
                  </w:r>
                </w:p>
                <w:p w:rsidR="00E934B4" w:rsidRPr="00D600DB" w:rsidRDefault="00915025" w:rsidP="00E934B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3" w:hanging="333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Rada pravidelne vyhodnocuje aktivity projektu </w:t>
                  </w:r>
                  <w:r w:rsidR="00E934B4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za uplynulé obdobie a plánuje činnosti na obdobie nasledujúce v súlade so Zmluvou o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 </w:t>
                  </w:r>
                  <w:r w:rsidR="00E934B4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NFP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934B4" w:rsidRPr="00D600DB" w:rsidRDefault="00E934B4" w:rsidP="00E934B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3" w:hanging="333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R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ada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schvaľuje finančné záležitosti 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projektu</w:t>
                  </w:r>
                  <w:r w:rsidR="00061673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, čerpanie rozpočtu projektu 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 všetky dokumenty vzniknuté v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 rámci </w:t>
                  </w:r>
                  <w:r w:rsidR="0071267E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implementácie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projektu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, vrátane Štatútov pracovísk (</w:t>
                  </w:r>
                  <w:r w:rsidR="0071267E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Laboratórií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) vzniknutých 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počas implementácie projektu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934B4" w:rsidRPr="00D600DB" w:rsidRDefault="00E934B4" w:rsidP="00E934B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3" w:hanging="333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R</w:t>
                  </w:r>
                  <w:r w:rsidR="00915025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ada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kontroluje administratívne riadenie </w:t>
                  </w:r>
                  <w:r w:rsidR="00061673"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implementácie projektu, najmä v oblasti: 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realizácie celého projektu 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v oblasti administratívnej, finančnej, odbornej, v oblasti verejného 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lastRenderedPageBreak/>
                    <w:t>obstarávania a v oblasti monitoringu a informovanosti o projekte,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koordinácie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činností projektového tímu, prípravy a vedenia jeho zasadnutí, kooperácie s interným projektovým manažérom a administrátormi Projektu,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plánovania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a ukladanie úloh projektovému tímu, vyhodnocovania ich plnenia a dodržiavania stanovených termínov,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>operatívne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ho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riešeni</w:t>
                  </w:r>
                  <w:r w:rsidR="00061673"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>a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problémov podľa požiadaviek riadiaceho a sprostredkovateľského orgánu, komunikácie s projektovým manažérom na Agentúre pre štrukturálne fondy EÚ,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podávania monitorovacích správ Projektu, 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vypracovania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záverečnej hodnotiacej správy Projektu, ako aj podávania správ po skončení projektu,</w:t>
                  </w:r>
                </w:p>
                <w:p w:rsidR="00E934B4" w:rsidRPr="00D600DB" w:rsidRDefault="00E934B4" w:rsidP="0006167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</w:pP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asistencie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pri kontrolách vykonávaných subjektmi definovanými v Zmluve o poskytnutí NFP, odbornej asistencii pri príprave na všetky druhy kontrol a auditov, ktoré môžu byť vykonané počas implementácie projektu, </w:t>
                  </w:r>
                </w:p>
                <w:p w:rsidR="009113D0" w:rsidRPr="00D600DB" w:rsidRDefault="00E934B4" w:rsidP="00E934B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53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>s</w:t>
                  </w:r>
                  <w:r w:rsidRPr="00D600DB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ledovania</w:t>
                  </w:r>
                  <w:r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 xml:space="preserve"> zmien legislatívy a metodiky súvisiacej s implementáciou projektu</w:t>
                  </w:r>
                  <w:r w:rsidR="00061673" w:rsidRPr="00D600DB">
                    <w:rPr>
                      <w:rFonts w:ascii="Arial Narrow" w:eastAsia="Calibri" w:hAnsi="Arial Narrow" w:cs="GMLJOD+TimesNewRoman"/>
                      <w:color w:val="000000"/>
                      <w:sz w:val="24"/>
                      <w:szCs w:val="24"/>
                    </w:rPr>
                    <w:t>.</w:t>
                  </w:r>
                  <w:r w:rsidR="009113D0" w:rsidRPr="00D600DB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jc w:val="center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  <w:t>Článok 3</w:t>
                  </w:r>
                </w:p>
                <w:p w:rsidR="009113D0" w:rsidRPr="00061673" w:rsidRDefault="009113D0" w:rsidP="00061673">
                  <w:pPr>
                    <w:spacing w:after="0" w:line="240" w:lineRule="auto"/>
                    <w:jc w:val="center"/>
                    <w:outlineLvl w:val="1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061673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Zloženie Rady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C05AFE" w:rsidRDefault="009113D0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1.   </w:t>
                  </w:r>
                  <w:r w:rsidR="0091502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R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ada je zložená z 1</w:t>
                  </w:r>
                  <w:r w:rsidR="0096012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2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členov s</w:t>
                  </w:r>
                  <w:r w:rsid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hlaso</w:t>
                  </w:r>
                  <w:r w:rsid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vacím právom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(predseda, 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podpredseda a ďalších </w:t>
                  </w:r>
                  <w:r w:rsidR="0096012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10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členov) a</w:t>
                  </w:r>
                  <w:r w:rsid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tajomníka</w:t>
                  </w:r>
                  <w:r w:rsid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, ktorý n</w:t>
                  </w:r>
                  <w:r w:rsidR="00960124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e</w:t>
                  </w:r>
                  <w:r w:rsid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má hlasovacie právo. </w:t>
                  </w:r>
                </w:p>
                <w:p w:rsidR="009113D0" w:rsidRPr="00915025" w:rsidRDefault="009113D0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2.   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Predsedom Rady je 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vedúci projektu Dr. </w:t>
                  </w:r>
                  <w:proofErr w:type="spellStart"/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Rer.nat</w:t>
                  </w:r>
                  <w:proofErr w:type="spellEnd"/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. Peter </w:t>
                  </w:r>
                  <w:proofErr w:type="spellStart"/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Šiffalovič</w:t>
                  </w:r>
                  <w:proofErr w:type="spellEnd"/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, PhD. </w:t>
                  </w:r>
                </w:p>
                <w:p w:rsidR="00211EBC" w:rsidRDefault="009113D0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3.   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Podpredsed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a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Rady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je volený jednotlivými členmi rady na jej prvom zasadnutí</w:t>
                  </w:r>
                  <w:r w:rsidR="00BA4E3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spomedzi </w:t>
                  </w:r>
                  <w:proofErr w:type="spellStart"/>
                  <w:r w:rsidR="00BA4E3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čenov</w:t>
                  </w:r>
                  <w:proofErr w:type="spellEnd"/>
                  <w:r w:rsidR="00BA4E3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Rady s hlasovacím právom. Kandidáta na podpredsedu Rady môže navrhnúť ktorýkoľvek člen Rady s hlasovacím právom. Podpredsedom Rady sa stáva ten kandidát, ktorý získa nadpolovičnú väčšinu hlasov prítomných členov.</w:t>
                  </w:r>
                  <w:r w:rsid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211EBC" w:rsidRDefault="00211EBC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4.   Tajomníkom rady je asistent projektového manažéra. </w:t>
                  </w:r>
                </w:p>
                <w:p w:rsidR="003B6B06" w:rsidRDefault="00211EBC" w:rsidP="00A74597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5. </w:t>
                  </w:r>
                  <w:r w:rsidR="006F2399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Členmi Rady sú pracovníci zodpovední za jednotlivé aktivity projektu</w:t>
                  </w:r>
                  <w:r w:rsidR="006F2399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tak ako sú uvedení v</w:t>
                  </w:r>
                  <w:r w:rsidR="00BA4E3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  <w:r w:rsidR="006F2399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Projekte</w:t>
                  </w:r>
                  <w:r w:rsidR="00BA4E35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a v personálnej matici projektu</w:t>
                  </w:r>
                  <w:r w:rsidR="006F2399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:</w:t>
                  </w: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         </w:t>
                  </w:r>
                </w:p>
                <w:p w:rsidR="003B6B06" w:rsidRDefault="003B6B06" w:rsidP="00211EBC">
                  <w:pPr>
                    <w:spacing w:after="0" w:line="240" w:lineRule="auto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            Odborný pracovník č. 2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expert pre strategický plán výskumu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3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expert pre obstarávanie infraštruktúry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4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expert pre obstarávanie infraštruktúry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5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expert pre inštaláciu infraštruktúry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6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, odborný pracovník pre analýzu </w:t>
                  </w:r>
                  <w:proofErr w:type="spellStart"/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fotovoltických</w:t>
                  </w:r>
                  <w:proofErr w:type="spellEnd"/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štruktúr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7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odborný pracovník pre testovanie obstaranej infraštruktúry</w:t>
                  </w:r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8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, expert pre organickú </w:t>
                  </w:r>
                  <w:proofErr w:type="spellStart"/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fotovoltiku</w:t>
                  </w:r>
                  <w:proofErr w:type="spellEnd"/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9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, expert pre organickú </w:t>
                  </w:r>
                  <w:proofErr w:type="spellStart"/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fotovoltiku</w:t>
                  </w:r>
                  <w:proofErr w:type="spellEnd"/>
                </w:p>
                <w:p w:rsidR="003B6B06" w:rsidRDefault="003B6B06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</w:t>
                  </w:r>
                  <w:r w:rsidR="00A74597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10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odborník v oblasti optiky</w:t>
                  </w:r>
                </w:p>
                <w:p w:rsidR="00A74597" w:rsidRDefault="00A74597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Odborný pracovník č. 11</w:t>
                  </w:r>
                  <w:r w:rsid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, odborný pracovník pre testovanie obstaranej infraštruktúry</w:t>
                  </w:r>
                </w:p>
                <w:p w:rsidR="00A74597" w:rsidRDefault="00A74597" w:rsidP="00A74597">
                  <w:pPr>
                    <w:spacing w:after="0" w:line="240" w:lineRule="auto"/>
                    <w:ind w:left="693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Nový doktorand</w:t>
                  </w:r>
                  <w:r w:rsidR="00D600DB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pre vývoj pokročilých </w:t>
                  </w:r>
                  <w:proofErr w:type="spellStart"/>
                  <w:r w:rsidR="00D600DB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fotovoltických</w:t>
                  </w:r>
                  <w:proofErr w:type="spellEnd"/>
                  <w:r w:rsidR="00D600DB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štruktúr.</w:t>
                  </w:r>
                </w:p>
                <w:p w:rsidR="00211EBC" w:rsidRPr="00211EBC" w:rsidRDefault="003B6B06" w:rsidP="00D600DB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9113D0" w:rsidRPr="00915025" w:rsidRDefault="00211EBC" w:rsidP="00861B39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 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9113D0" w:rsidRPr="007D62E1" w:rsidRDefault="009113D0" w:rsidP="000616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Článok </w:t>
                  </w:r>
                  <w:r w:rsidR="00061673"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  <w:p w:rsidR="009113D0" w:rsidRPr="007D62E1" w:rsidRDefault="009113D0" w:rsidP="009113D0">
                  <w:pPr>
                    <w:spacing w:after="0" w:line="24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Práva a povinnosti členov Rady</w:t>
                  </w:r>
                </w:p>
                <w:p w:rsidR="009113D0" w:rsidRPr="007D62E1" w:rsidRDefault="009113D0" w:rsidP="009113D0">
                  <w:pPr>
                    <w:spacing w:after="0" w:line="240" w:lineRule="auto"/>
                    <w:jc w:val="center"/>
                    <w:outlineLvl w:val="2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7D62E1" w:rsidRDefault="009113D0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1.      </w:t>
                  </w: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Členovia Rady majú právo</w:t>
                  </w:r>
                  <w:r w:rsidR="007D62E1"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najmä:</w:t>
                  </w: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D600DB" w:rsidRPr="007D62E1" w:rsidRDefault="00D600DB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        </w:t>
                  </w:r>
                  <w:r w:rsidR="009113D0"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a.  </w:t>
                  </w:r>
                  <w:r w:rsidR="009113D0"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uplatňovať pri rokovaniach Rady otázky, pripomienky, námety a podnety k prejednávaným </w:t>
                  </w: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    </w:t>
                  </w:r>
                </w:p>
                <w:p w:rsidR="009113D0" w:rsidRPr="007D62E1" w:rsidRDefault="00D600DB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             </w:t>
                  </w:r>
                  <w:r w:rsidR="009113D0"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materiálom, </w:t>
                  </w:r>
                </w:p>
                <w:p w:rsidR="00D600DB" w:rsidRPr="007D62E1" w:rsidRDefault="00D600DB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         </w:t>
                  </w:r>
                  <w:r w:rsidR="009113D0"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b.  </w:t>
                  </w:r>
                  <w:r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v</w:t>
                  </w:r>
                  <w:r w:rsidR="009113D0"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yžadovať od ostatných členov Rady informácie a vysvetlenia potrebné na posúdenie </w:t>
                  </w: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 </w:t>
                  </w:r>
                </w:p>
                <w:p w:rsidR="009113D0" w:rsidRPr="007D62E1" w:rsidRDefault="00D600DB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             m</w:t>
                  </w:r>
                  <w:r w:rsidR="009113D0"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ateriálov predkladaných na rokovanie Rady a pre ich vlastnú prácu v Rade. </w:t>
                  </w:r>
                </w:p>
                <w:p w:rsidR="009113D0" w:rsidRPr="007D62E1" w:rsidRDefault="009113D0" w:rsidP="009113D0">
                  <w:pPr>
                    <w:spacing w:after="0" w:line="240" w:lineRule="auto"/>
                    <w:ind w:left="720" w:hanging="360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2.     </w:t>
                  </w:r>
                  <w:r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Členovia Rady sú povinní </w:t>
                  </w:r>
                  <w:r w:rsidR="007D62E1" w:rsidRPr="007D62E1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najmä:</w:t>
                  </w:r>
                </w:p>
                <w:p w:rsidR="00443505" w:rsidRPr="007D62E1" w:rsidRDefault="009113D0" w:rsidP="009113D0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a.    </w:t>
                  </w:r>
                  <w:r w:rsidR="00443505"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plniť svoje úlohy v súlade s týmto štatútom a s projektom</w:t>
                  </w:r>
                </w:p>
                <w:p w:rsidR="009113D0" w:rsidRPr="007D62E1" w:rsidRDefault="009113D0" w:rsidP="00443505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>b.   </w:t>
                  </w:r>
                  <w:r w:rsidR="00443505" w:rsidRPr="007D62E1">
                    <w:rPr>
                      <w:rFonts w:ascii="Arial Narrow" w:eastAsia="Century Schoolbook CE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osobne sa zúčastňovať na rokovaní Rady</w:t>
                  </w:r>
                  <w:r w:rsidR="00443505"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.</w:t>
                  </w: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  <w:p w:rsidR="009113D0" w:rsidRPr="007D62E1" w:rsidRDefault="009113D0" w:rsidP="00861B39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7D62E1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  </w:t>
                  </w:r>
                </w:p>
                <w:p w:rsidR="009113D0" w:rsidRPr="00915025" w:rsidRDefault="009113D0" w:rsidP="0006167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Článok </w:t>
                  </w:r>
                  <w:r w:rsidR="00061673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Default="00061673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Organizácia činnosti </w:t>
                  </w:r>
                  <w:r w:rsidR="009113D0" w:rsidRPr="00061673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Rady</w:t>
                  </w:r>
                </w:p>
                <w:p w:rsidR="00061673" w:rsidRPr="00061673" w:rsidRDefault="00061673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  <w:p w:rsidR="00061673" w:rsidRPr="00061673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93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ada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zasadá pravidelne raz za 3 mesiace, spravidla pred odovzdaním monitorovacej správy projektu. Zasadn</w:t>
                  </w:r>
                  <w:r w:rsidR="007D62E1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ut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ie R</w:t>
                  </w:r>
                  <w:r w:rsidR="007D62E1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 zvoláva predseda Rady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alebo ním poverený zástupca. </w:t>
                  </w:r>
                </w:p>
                <w:p w:rsidR="00061673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O zvolanie zasadnutia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 môže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v ľubovoľnom termíne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písomne 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požiadať aj tretina členov 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Rady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Žiadosť je potrebné </w:t>
                  </w:r>
                  <w:r w:rsidR="008A48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doručiť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predsedovi Rady poštou, osobne alebo elektronicky. Ak o zvolanie </w:t>
                  </w:r>
                  <w:r w:rsidR="008A48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zasadnutia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Rady požiada stanovený počet jej členov, 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Predseda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je </w:t>
                  </w:r>
                  <w:r w:rsidR="00BA4E35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povinný zvolať jej zasad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n</w:t>
                  </w:r>
                  <w:r w:rsidR="00BA4E35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ut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ie do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7 pracovných dní od doručenia žiadosti.</w:t>
                  </w:r>
                </w:p>
                <w:p w:rsidR="00C05AFE" w:rsidRPr="00C05AFE" w:rsidRDefault="00C05AFE" w:rsidP="00C05AFE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Predseda Rady riadi jej činnosť a vedie rokovanie. Počas neprítomnosti predsedu Rady tieto činnosti vykonáva podpredseda Rady. </w:t>
                  </w:r>
                </w:p>
                <w:p w:rsidR="00C05AFE" w:rsidRPr="00C05AFE" w:rsidRDefault="00C05AFE" w:rsidP="00C05AFE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C05AFE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 xml:space="preserve">Členov Rady, vedúcich odborných skupín pri Rade a zástupcov ďalších subjektov pozýva na zasadnutia tajomník Rady na návrh predsedu. </w:t>
                  </w:r>
                </w:p>
                <w:p w:rsidR="00061673" w:rsidRPr="00E52999" w:rsidRDefault="00061673" w:rsidP="00C05AFE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ada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má právo prizvať na prejednávanie dôležitých otázok </w:t>
                  </w:r>
                  <w:r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>aj odborníkov</w:t>
                  </w:r>
                  <w:r w:rsidR="003F5B8A">
                    <w:rPr>
                      <w:rFonts w:ascii="Arial Narrow" w:hAnsi="Arial Narrow" w:cs="GMLJOD+TimesNewRoman"/>
                      <w:sz w:val="24"/>
                      <w:szCs w:val="24"/>
                    </w:rPr>
                    <w:t>, ktorí sa nezúčastňujú riešenia projekt</w:t>
                  </w:r>
                  <w:r w:rsidR="00C05AFE">
                    <w:rPr>
                      <w:rFonts w:ascii="Arial Narrow" w:hAnsi="Arial Narrow" w:cs="GMLJOD+TimesNewRoman"/>
                      <w:sz w:val="24"/>
                      <w:szCs w:val="24"/>
                    </w:rPr>
                    <w:t>u</w:t>
                  </w:r>
                  <w:r w:rsidR="003F5B8A">
                    <w:rPr>
                      <w:rFonts w:ascii="Arial Narrow" w:hAnsi="Arial Narrow" w:cs="GMLJOD+TimesNewRoman"/>
                      <w:sz w:val="24"/>
                      <w:szCs w:val="24"/>
                    </w:rPr>
                    <w:t xml:space="preserve">. </w:t>
                  </w:r>
                </w:p>
                <w:p w:rsidR="00061673" w:rsidRPr="00061673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>R</w:t>
                  </w:r>
                  <w:r w:rsidR="00B93163"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>ada</w:t>
                  </w:r>
                  <w:r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 xml:space="preserve"> na svojich zasadaniach o dôležitých otázkach rozhod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uje hlasovaním. </w:t>
                  </w:r>
                </w:p>
                <w:p w:rsidR="00061673" w:rsidRPr="00061673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Hlasovanie v 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je spravidla verejné. Tajne sa hlasuje vtedy, ak hociktorý člen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o takéto hlasovanie požiada. </w:t>
                  </w:r>
                </w:p>
                <w:p w:rsidR="00061673" w:rsidRPr="00E52999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Zasadanie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je uznášaniaschopné, ak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je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prítomn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á nadpolovičná väčšina všetkých 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členov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ady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s hlasovacím právom.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Uznesenia 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Rady 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s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prij</w:t>
                  </w:r>
                  <w:r w:rsidR="00C05AFE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ímajú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väčšinou všetkých členov </w:t>
                  </w:r>
                  <w:r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>R</w:t>
                  </w:r>
                  <w:r w:rsidR="00B93163"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>ady</w:t>
                  </w:r>
                  <w:r w:rsidRPr="00E52999">
                    <w:rPr>
                      <w:rFonts w:ascii="Arial Narrow" w:hAnsi="Arial Narrow" w:cs="GMLJOD+TimesNewRoman"/>
                      <w:sz w:val="24"/>
                      <w:szCs w:val="24"/>
                    </w:rPr>
                    <w:t xml:space="preserve">. </w:t>
                  </w:r>
                </w:p>
                <w:p w:rsidR="00061673" w:rsidRPr="00061673" w:rsidRDefault="00061673" w:rsidP="00061673">
                  <w:pPr>
                    <w:pStyle w:val="ListParagraph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Zo zasad</w:t>
                  </w:r>
                  <w:r w:rsidR="00BA4E35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nut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í R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ady 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sa robí zápisnica, ktorá je prístupná pracovníkom</w:t>
                  </w:r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Fyzikálného</w:t>
                  </w:r>
                  <w:proofErr w:type="spellEnd"/>
                  <w:r w:rsidR="00B9316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ústavu SAV zúčastneným na riešení projektu</w:t>
                  </w:r>
                  <w:r w:rsidRPr="00061673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jc w:val="center"/>
                    <w:outlineLvl w:val="0"/>
                    <w:rPr>
                      <w:rFonts w:ascii="Arial Narrow" w:eastAsia="Times New Roman" w:hAnsi="Arial Narrow" w:cs="Times New Roman"/>
                      <w:b/>
                      <w:bCs/>
                      <w:kern w:val="36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  <w:t xml:space="preserve">Článok </w:t>
                  </w:r>
                  <w:r w:rsidR="00D600DB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kern w:val="36"/>
                      <w:sz w:val="24"/>
                      <w:szCs w:val="24"/>
                      <w:lang w:eastAsia="sk-SK"/>
                    </w:rPr>
                    <w:t>6</w:t>
                  </w:r>
                </w:p>
                <w:p w:rsidR="009113D0" w:rsidRDefault="009113D0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861B39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sk-SK"/>
                    </w:rPr>
                    <w:t>Záverečné ustanovenie</w:t>
                  </w:r>
                </w:p>
                <w:p w:rsidR="00861B39" w:rsidRDefault="00861B39" w:rsidP="00861B39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GMLJOD+TimesNewRoman" w:hAnsi="GMLJOD+TimesNewRoman" w:cs="GMLJOD+TimesNewRoman"/>
                      <w:color w:val="000000"/>
                      <w:sz w:val="23"/>
                      <w:szCs w:val="23"/>
                    </w:rPr>
                  </w:pPr>
                </w:p>
                <w:p w:rsidR="00861B39" w:rsidRPr="00861B39" w:rsidRDefault="00861B39" w:rsidP="00861B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</w:pPr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Štatút Rady projektu „Aplikovaný výskum pokročilých </w:t>
                  </w:r>
                  <w:proofErr w:type="spellStart"/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fotovoltických</w:t>
                  </w:r>
                  <w:proofErr w:type="spellEnd"/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 článkov“</w:t>
                  </w:r>
                  <w:r w:rsidRPr="00861B39">
                    <w:rPr>
                      <w:rFonts w:ascii="Arial Narrow" w:hAnsi="Arial Narrow" w:cs="GMLJNB+TimesNewRoman,Bold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ako aj každú zmenu v jeho znení, schva</w:t>
                  </w:r>
                  <w:r w:rsidRPr="00861B39">
                    <w:rPr>
                      <w:rFonts w:ascii="Arial Narrow" w:hAnsi="Arial Narrow" w:cs="Times New Roman"/>
                      <w:color w:val="000000"/>
                      <w:sz w:val="24"/>
                      <w:szCs w:val="24"/>
                    </w:rPr>
                    <w:t>ľ</w:t>
                  </w:r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uje Rada Projektu Centra na svojom zasadaní a jej platnosť potvrdzuje podpisom Predseda Rady </w:t>
                  </w:r>
                  <w:r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>Projektu</w:t>
                  </w:r>
                  <w:r w:rsidRPr="00861B39">
                    <w:rPr>
                      <w:rFonts w:ascii="Arial Narrow" w:hAnsi="Arial Narrow" w:cs="GMLJOD+TimesNew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861B39" w:rsidRPr="00861B39" w:rsidRDefault="00861B39" w:rsidP="009113D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  <w:lang w:eastAsia="sk-SK"/>
                    </w:rPr>
                  </w:pPr>
                </w:p>
                <w:p w:rsidR="009113D0" w:rsidRPr="00915025" w:rsidRDefault="00861B39" w:rsidP="009113D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V Bratislave, dňa 14.02.2011</w:t>
                  </w:r>
                  <w:r w:rsidR="009113D0"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9113D0">
                  <w:pPr>
                    <w:spacing w:after="0" w:line="240" w:lineRule="auto"/>
                    <w:ind w:left="142"/>
                    <w:jc w:val="both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9113D0" w:rsidRPr="00915025" w:rsidRDefault="009113D0" w:rsidP="00E52999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outlineLvl w:val="0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  <w:r w:rsidRPr="00915025"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13D0" w:rsidRPr="00915025" w:rsidRDefault="009113D0" w:rsidP="009113D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9113D0" w:rsidRPr="00915025" w:rsidRDefault="009113D0" w:rsidP="009113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113D0" w:rsidRPr="00915025" w:rsidRDefault="009113D0" w:rsidP="009113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9113D0" w:rsidRPr="00915025" w:rsidRDefault="009113D0" w:rsidP="009113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sk-SK"/>
              </w:rPr>
            </w:pPr>
          </w:p>
        </w:tc>
      </w:tr>
    </w:tbl>
    <w:p w:rsidR="00861B39" w:rsidRDefault="00861B39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                      _________________________</w:t>
      </w:r>
    </w:p>
    <w:p w:rsidR="009113D0" w:rsidRDefault="00861B39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Dr. </w:t>
      </w:r>
      <w:proofErr w:type="spellStart"/>
      <w:r>
        <w:rPr>
          <w:rFonts w:ascii="Arial Narrow" w:hAnsi="Arial Narrow"/>
          <w:sz w:val="24"/>
          <w:szCs w:val="24"/>
        </w:rPr>
        <w:t>rar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nat</w:t>
      </w:r>
      <w:proofErr w:type="spellEnd"/>
      <w:r>
        <w:rPr>
          <w:rFonts w:ascii="Arial Narrow" w:hAnsi="Arial Narrow"/>
          <w:sz w:val="24"/>
          <w:szCs w:val="24"/>
        </w:rPr>
        <w:t xml:space="preserve">. Peter </w:t>
      </w:r>
      <w:proofErr w:type="spellStart"/>
      <w:r>
        <w:rPr>
          <w:rFonts w:ascii="Arial Narrow" w:hAnsi="Arial Narrow"/>
          <w:sz w:val="24"/>
          <w:szCs w:val="24"/>
        </w:rPr>
        <w:t>Šiffalovič</w:t>
      </w:r>
      <w:proofErr w:type="spellEnd"/>
      <w:r>
        <w:rPr>
          <w:rFonts w:ascii="Arial Narrow" w:hAnsi="Arial Narrow"/>
          <w:sz w:val="24"/>
          <w:szCs w:val="24"/>
        </w:rPr>
        <w:t xml:space="preserve">, PhD. </w:t>
      </w:r>
    </w:p>
    <w:p w:rsidR="00BA4E35" w:rsidRDefault="00BA4E35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A4E35" w:rsidRDefault="00BA4E35" w:rsidP="00861B39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A4E35" w:rsidRDefault="00BA4E35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A4E35">
        <w:rPr>
          <w:rFonts w:ascii="Arial Narrow" w:hAnsi="Arial Narrow"/>
          <w:b/>
          <w:sz w:val="24"/>
          <w:szCs w:val="24"/>
        </w:rPr>
        <w:t>Prílohy: 1/</w:t>
      </w:r>
      <w:r>
        <w:rPr>
          <w:rFonts w:ascii="Arial Narrow" w:hAnsi="Arial Narrow"/>
          <w:sz w:val="24"/>
          <w:szCs w:val="24"/>
        </w:rPr>
        <w:t xml:space="preserve"> Personálna matica projektu</w:t>
      </w:r>
    </w:p>
    <w:p w:rsidR="00BA4E35" w:rsidRDefault="00BA4E35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BA4E35">
        <w:rPr>
          <w:rFonts w:ascii="Arial Narrow" w:hAnsi="Arial Narrow"/>
          <w:b/>
          <w:sz w:val="24"/>
          <w:szCs w:val="24"/>
        </w:rPr>
        <w:t>2/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Cieľe</w:t>
      </w:r>
      <w:proofErr w:type="spellEnd"/>
      <w:r>
        <w:rPr>
          <w:rFonts w:ascii="Arial Narrow" w:hAnsi="Arial Narrow"/>
          <w:sz w:val="24"/>
          <w:szCs w:val="24"/>
        </w:rPr>
        <w:t xml:space="preserve"> a výstupy jednotlivých aktivít projektu</w:t>
      </w:r>
    </w:p>
    <w:p w:rsidR="00BA4E35" w:rsidRPr="00915025" w:rsidRDefault="00BA4E35" w:rsidP="00861B39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BA4E35" w:rsidRPr="00915025" w:rsidSect="00AA12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00" w:rsidRDefault="00857D00" w:rsidP="00DA13EE">
      <w:pPr>
        <w:spacing w:after="0" w:line="240" w:lineRule="auto"/>
      </w:pPr>
      <w:r>
        <w:separator/>
      </w:r>
    </w:p>
  </w:endnote>
  <w:endnote w:type="continuationSeparator" w:id="0">
    <w:p w:rsidR="00857D00" w:rsidRDefault="00857D00" w:rsidP="00DA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MLJO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MLJN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365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BA4E35" w:rsidRPr="00D600DB" w:rsidRDefault="00FA2278">
        <w:pPr>
          <w:pStyle w:val="Footer"/>
          <w:jc w:val="right"/>
          <w:rPr>
            <w:rFonts w:ascii="Arial Narrow" w:hAnsi="Arial Narrow"/>
            <w:sz w:val="20"/>
            <w:szCs w:val="20"/>
          </w:rPr>
        </w:pPr>
        <w:r w:rsidRPr="00D600DB">
          <w:rPr>
            <w:rFonts w:ascii="Arial Narrow" w:hAnsi="Arial Narrow"/>
            <w:sz w:val="20"/>
            <w:szCs w:val="20"/>
          </w:rPr>
          <w:fldChar w:fldCharType="begin"/>
        </w:r>
        <w:r w:rsidR="00BA4E35" w:rsidRPr="00D600DB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D600DB">
          <w:rPr>
            <w:rFonts w:ascii="Arial Narrow" w:hAnsi="Arial Narrow"/>
            <w:sz w:val="20"/>
            <w:szCs w:val="20"/>
          </w:rPr>
          <w:fldChar w:fldCharType="separate"/>
        </w:r>
        <w:r w:rsidR="0071267E">
          <w:rPr>
            <w:rFonts w:ascii="Arial Narrow" w:hAnsi="Arial Narrow"/>
            <w:noProof/>
            <w:sz w:val="20"/>
            <w:szCs w:val="20"/>
          </w:rPr>
          <w:t>2</w:t>
        </w:r>
        <w:r w:rsidRPr="00D600DB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BA4E35" w:rsidRDefault="00BA4E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00" w:rsidRDefault="00857D00" w:rsidP="00DA13EE">
      <w:pPr>
        <w:spacing w:after="0" w:line="240" w:lineRule="auto"/>
      </w:pPr>
      <w:r>
        <w:separator/>
      </w:r>
    </w:p>
  </w:footnote>
  <w:footnote w:type="continuationSeparator" w:id="0">
    <w:p w:rsidR="00857D00" w:rsidRDefault="00857D00" w:rsidP="00DA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6" w:type="dxa"/>
      <w:jc w:val="center"/>
      <w:tblBorders>
        <w:bottom w:val="single" w:sz="12" w:space="0" w:color="auto"/>
      </w:tblBorders>
      <w:tblLook w:val="01E0"/>
    </w:tblPr>
    <w:tblGrid>
      <w:gridCol w:w="1880"/>
      <w:gridCol w:w="5557"/>
      <w:gridCol w:w="2299"/>
    </w:tblGrid>
    <w:tr w:rsidR="00BA4E35" w:rsidTr="00BA4E35">
      <w:trPr>
        <w:trHeight w:hRule="exact" w:val="1418"/>
        <w:jc w:val="center"/>
      </w:trPr>
      <w:tc>
        <w:tcPr>
          <w:tcW w:w="1880" w:type="dxa"/>
          <w:noWrap/>
          <w:vAlign w:val="center"/>
        </w:tcPr>
        <w:p w:rsidR="00BA4E35" w:rsidRDefault="00BA4E35" w:rsidP="00BA4E35">
          <w:pPr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883920" cy="777240"/>
                <wp:effectExtent l="19050" t="0" r="0" b="0"/>
                <wp:docPr id="3" name="Picture 1" descr="vlajka_uprava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lajka_uprava_4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noWrap/>
        </w:tcPr>
        <w:p w:rsidR="00BA4E35" w:rsidRDefault="00BA4E35" w:rsidP="00BA4E35">
          <w:pPr>
            <w:tabs>
              <w:tab w:val="left" w:pos="1414"/>
            </w:tabs>
            <w:spacing w:after="0" w:line="240" w:lineRule="auto"/>
            <w:ind w:left="1304" w:hanging="1304"/>
            <w:jc w:val="both"/>
            <w:rPr>
              <w:rFonts w:ascii="Arial Narrow" w:hAnsi="Arial Narrow" w:cs="Tahoma"/>
              <w:sz w:val="20"/>
              <w:szCs w:val="20"/>
            </w:rPr>
          </w:pPr>
        </w:p>
        <w:p w:rsidR="00BA4E35" w:rsidRPr="000F54B2" w:rsidRDefault="00BA4E35" w:rsidP="00BA4E35">
          <w:pPr>
            <w:tabs>
              <w:tab w:val="left" w:pos="1414"/>
            </w:tabs>
            <w:spacing w:after="0" w:line="240" w:lineRule="auto"/>
            <w:ind w:left="1304" w:hanging="1304"/>
            <w:jc w:val="both"/>
            <w:rPr>
              <w:rFonts w:ascii="Arial Narrow" w:hAnsi="Arial Narrow" w:cs="Tahoma"/>
              <w:sz w:val="20"/>
              <w:szCs w:val="20"/>
            </w:rPr>
          </w:pPr>
          <w:r w:rsidRPr="000F54B2">
            <w:rPr>
              <w:rFonts w:ascii="Arial Narrow" w:hAnsi="Arial Narrow" w:cs="Tahoma"/>
              <w:sz w:val="20"/>
              <w:szCs w:val="20"/>
            </w:rPr>
            <w:t xml:space="preserve">Názov projektu: Aplikovaný výskum pokročilých </w:t>
          </w:r>
          <w:proofErr w:type="spellStart"/>
          <w:r w:rsidRPr="000F54B2">
            <w:rPr>
              <w:rFonts w:ascii="Arial Narrow" w:hAnsi="Arial Narrow" w:cs="Tahoma"/>
              <w:sz w:val="20"/>
              <w:szCs w:val="20"/>
            </w:rPr>
            <w:t>fotovoltických</w:t>
          </w:r>
          <w:proofErr w:type="spellEnd"/>
          <w:r w:rsidRPr="000F54B2">
            <w:rPr>
              <w:rFonts w:ascii="Arial Narrow" w:hAnsi="Arial Narrow" w:cs="Tahoma"/>
              <w:sz w:val="20"/>
              <w:szCs w:val="20"/>
            </w:rPr>
            <w:t xml:space="preserve"> článkov</w:t>
          </w:r>
        </w:p>
        <w:p w:rsidR="00BA4E35" w:rsidRDefault="00BA4E35" w:rsidP="00BA4E35">
          <w:pPr>
            <w:tabs>
              <w:tab w:val="left" w:pos="0"/>
            </w:tabs>
            <w:spacing w:after="0" w:line="240" w:lineRule="auto"/>
            <w:rPr>
              <w:rFonts w:ascii="Arial Narrow" w:hAnsi="Arial Narrow" w:cs="Tahoma"/>
              <w:sz w:val="20"/>
              <w:szCs w:val="20"/>
            </w:rPr>
          </w:pPr>
          <w:r w:rsidRPr="000F54B2">
            <w:rPr>
              <w:rFonts w:ascii="Arial Narrow" w:hAnsi="Arial Narrow" w:cs="Tahoma"/>
              <w:sz w:val="20"/>
              <w:szCs w:val="20"/>
            </w:rPr>
            <w:t>Kód projektu: 26240220047</w:t>
          </w:r>
        </w:p>
        <w:p w:rsidR="00BA4E35" w:rsidRPr="000F54B2" w:rsidRDefault="00BA4E35" w:rsidP="00BA4E35">
          <w:pPr>
            <w:tabs>
              <w:tab w:val="left" w:pos="0"/>
            </w:tabs>
            <w:spacing w:after="0" w:line="240" w:lineRule="auto"/>
            <w:rPr>
              <w:rFonts w:ascii="Arial Narrow" w:hAnsi="Arial Narrow" w:cs="Tahoma"/>
              <w:sz w:val="20"/>
              <w:szCs w:val="20"/>
            </w:rPr>
          </w:pPr>
        </w:p>
        <w:p w:rsidR="00BA4E35" w:rsidRDefault="00BA4E35" w:rsidP="00BA4E35">
          <w:pPr>
            <w:tabs>
              <w:tab w:val="left" w:pos="0"/>
            </w:tabs>
            <w:spacing w:after="0" w:line="240" w:lineRule="auto"/>
            <w:rPr>
              <w:rFonts w:ascii="Arial Narrow" w:hAnsi="Arial Narrow" w:cs="Tahoma"/>
              <w:sz w:val="20"/>
              <w:szCs w:val="20"/>
            </w:rPr>
          </w:pPr>
          <w:r w:rsidRPr="000F54B2">
            <w:rPr>
              <w:rFonts w:ascii="Arial Narrow" w:hAnsi="Arial Narrow" w:cs="Tahoma"/>
              <w:sz w:val="20"/>
              <w:szCs w:val="20"/>
            </w:rPr>
            <w:t xml:space="preserve">“Podporujeme výskumné aktivity na Slovensku </w:t>
          </w:r>
        </w:p>
        <w:p w:rsidR="00BA4E35" w:rsidRPr="00F2148E" w:rsidRDefault="00BA4E35" w:rsidP="00BA4E35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0F54B2">
            <w:rPr>
              <w:rFonts w:ascii="Arial Narrow" w:hAnsi="Arial Narrow" w:cs="Tahoma"/>
              <w:sz w:val="20"/>
              <w:szCs w:val="20"/>
            </w:rPr>
            <w:t xml:space="preserve"> Projekt je spolufinancovaný zo zdrojov EÚ”</w:t>
          </w:r>
        </w:p>
      </w:tc>
      <w:tc>
        <w:tcPr>
          <w:tcW w:w="2299" w:type="dxa"/>
          <w:noWrap/>
          <w:vAlign w:val="center"/>
        </w:tcPr>
        <w:p w:rsidR="00BA4E35" w:rsidRDefault="00BA4E35" w:rsidP="00BA4E35">
          <w:pPr>
            <w:ind w:left="39" w:hanging="39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792480" cy="792480"/>
                <wp:effectExtent l="19050" t="0" r="7620" b="0"/>
                <wp:docPr id="4" name="Picture 2" descr="logo-opvav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opvav_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4E35" w:rsidRDefault="00BA4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873"/>
    <w:multiLevelType w:val="hybridMultilevel"/>
    <w:tmpl w:val="48D226E8"/>
    <w:lvl w:ilvl="0" w:tplc="282A4730">
      <w:start w:val="1"/>
      <w:numFmt w:val="upperRoman"/>
      <w:lvlText w:val="%1."/>
      <w:lvlJc w:val="left"/>
      <w:pPr>
        <w:ind w:left="105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3" w:hanging="360"/>
      </w:pPr>
    </w:lvl>
    <w:lvl w:ilvl="2" w:tplc="041B001B" w:tentative="1">
      <w:start w:val="1"/>
      <w:numFmt w:val="lowerRoman"/>
      <w:lvlText w:val="%3."/>
      <w:lvlJc w:val="right"/>
      <w:pPr>
        <w:ind w:left="2133" w:hanging="180"/>
      </w:pPr>
    </w:lvl>
    <w:lvl w:ilvl="3" w:tplc="041B000F" w:tentative="1">
      <w:start w:val="1"/>
      <w:numFmt w:val="decimal"/>
      <w:lvlText w:val="%4."/>
      <w:lvlJc w:val="left"/>
      <w:pPr>
        <w:ind w:left="2853" w:hanging="360"/>
      </w:pPr>
    </w:lvl>
    <w:lvl w:ilvl="4" w:tplc="041B0019" w:tentative="1">
      <w:start w:val="1"/>
      <w:numFmt w:val="lowerLetter"/>
      <w:lvlText w:val="%5."/>
      <w:lvlJc w:val="left"/>
      <w:pPr>
        <w:ind w:left="3573" w:hanging="360"/>
      </w:p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>
    <w:nsid w:val="372D7258"/>
    <w:multiLevelType w:val="hybridMultilevel"/>
    <w:tmpl w:val="1292CA26"/>
    <w:lvl w:ilvl="0" w:tplc="21B6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7199"/>
    <w:multiLevelType w:val="hybridMultilevel"/>
    <w:tmpl w:val="1D7A4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754FA"/>
    <w:multiLevelType w:val="hybridMultilevel"/>
    <w:tmpl w:val="37181CC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5743710"/>
    <w:multiLevelType w:val="hybridMultilevel"/>
    <w:tmpl w:val="7A2C546E"/>
    <w:lvl w:ilvl="0" w:tplc="5B124CEC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="GMLJOD+TimesNew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D0"/>
    <w:rsid w:val="00061673"/>
    <w:rsid w:val="000B1E81"/>
    <w:rsid w:val="000D617A"/>
    <w:rsid w:val="001230A1"/>
    <w:rsid w:val="00156612"/>
    <w:rsid w:val="00173410"/>
    <w:rsid w:val="00211EBC"/>
    <w:rsid w:val="002325E2"/>
    <w:rsid w:val="003B6B06"/>
    <w:rsid w:val="003F5B8A"/>
    <w:rsid w:val="00443505"/>
    <w:rsid w:val="00444327"/>
    <w:rsid w:val="004F190E"/>
    <w:rsid w:val="005416EF"/>
    <w:rsid w:val="006C6606"/>
    <w:rsid w:val="006F2399"/>
    <w:rsid w:val="0071267E"/>
    <w:rsid w:val="00757B3B"/>
    <w:rsid w:val="007D62E1"/>
    <w:rsid w:val="007E2150"/>
    <w:rsid w:val="00824E36"/>
    <w:rsid w:val="00853E0A"/>
    <w:rsid w:val="00857D00"/>
    <w:rsid w:val="00861B39"/>
    <w:rsid w:val="008A4839"/>
    <w:rsid w:val="009113D0"/>
    <w:rsid w:val="00915025"/>
    <w:rsid w:val="00925B00"/>
    <w:rsid w:val="00960124"/>
    <w:rsid w:val="009E526D"/>
    <w:rsid w:val="00A74597"/>
    <w:rsid w:val="00AA1205"/>
    <w:rsid w:val="00B93163"/>
    <w:rsid w:val="00B972A3"/>
    <w:rsid w:val="00BA4E35"/>
    <w:rsid w:val="00C05AFE"/>
    <w:rsid w:val="00C11F11"/>
    <w:rsid w:val="00C4511A"/>
    <w:rsid w:val="00D600DB"/>
    <w:rsid w:val="00DA13EE"/>
    <w:rsid w:val="00DC2A58"/>
    <w:rsid w:val="00E1565C"/>
    <w:rsid w:val="00E52999"/>
    <w:rsid w:val="00E934B4"/>
    <w:rsid w:val="00EA74A5"/>
    <w:rsid w:val="00EF7253"/>
    <w:rsid w:val="00F76618"/>
    <w:rsid w:val="00F8147C"/>
    <w:rsid w:val="00FA2278"/>
    <w:rsid w:val="00FC69E4"/>
    <w:rsid w:val="00FE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05"/>
  </w:style>
  <w:style w:type="paragraph" w:styleId="Heading1">
    <w:name w:val="heading 1"/>
    <w:basedOn w:val="Normal"/>
    <w:link w:val="Heading1Char"/>
    <w:uiPriority w:val="9"/>
    <w:qFormat/>
    <w:rsid w:val="00911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Heading2Char"/>
    <w:uiPriority w:val="9"/>
    <w:qFormat/>
    <w:rsid w:val="0091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link w:val="Heading3Char"/>
    <w:uiPriority w:val="9"/>
    <w:qFormat/>
    <w:rsid w:val="00911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3D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9113D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Heading3Char">
    <w:name w:val="Heading 3 Char"/>
    <w:basedOn w:val="DefaultParagraphFont"/>
    <w:link w:val="Heading3"/>
    <w:uiPriority w:val="9"/>
    <w:rsid w:val="009113D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itle">
    <w:name w:val="Title"/>
    <w:basedOn w:val="Normal"/>
    <w:link w:val="TitleChar"/>
    <w:uiPriority w:val="10"/>
    <w:qFormat/>
    <w:rsid w:val="009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10"/>
    <w:rsid w:val="009113D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9113D0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13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3D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3EE"/>
  </w:style>
  <w:style w:type="paragraph" w:styleId="Footer">
    <w:name w:val="footer"/>
    <w:basedOn w:val="Normal"/>
    <w:link w:val="FooterChar"/>
    <w:uiPriority w:val="99"/>
    <w:unhideWhenUsed/>
    <w:rsid w:val="00DA1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3EE"/>
  </w:style>
  <w:style w:type="paragraph" w:styleId="ListParagraph">
    <w:name w:val="List Paragraph"/>
    <w:basedOn w:val="Normal"/>
    <w:uiPriority w:val="34"/>
    <w:qFormat/>
    <w:rsid w:val="00C4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</cp:lastModifiedBy>
  <cp:revision>10</cp:revision>
  <cp:lastPrinted>2011-02-28T09:17:00Z</cp:lastPrinted>
  <dcterms:created xsi:type="dcterms:W3CDTF">2011-02-16T14:27:00Z</dcterms:created>
  <dcterms:modified xsi:type="dcterms:W3CDTF">2013-08-16T13:11:00Z</dcterms:modified>
</cp:coreProperties>
</file>